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9553" w14:textId="4D21AE87" w:rsidR="00DE16E8" w:rsidRPr="00B266B0" w:rsidRDefault="00DE16E8" w:rsidP="00DE16E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FC7F3D">
        <w:rPr>
          <w:bCs/>
          <w:noProof w:val="0"/>
          <w:sz w:val="24"/>
          <w:szCs w:val="24"/>
        </w:rPr>
        <w:t>R2-210</w:t>
      </w:r>
      <w:r w:rsidR="0009676D">
        <w:rPr>
          <w:bCs/>
          <w:noProof w:val="0"/>
          <w:sz w:val="24"/>
          <w:szCs w:val="24"/>
        </w:rPr>
        <w:t>3528</w:t>
      </w:r>
    </w:p>
    <w:p w14:paraId="11776FA6" w14:textId="75E9441A" w:rsidR="00A209D6" w:rsidRPr="00465587" w:rsidRDefault="00DE16E8" w:rsidP="00DE16E8">
      <w:pPr>
        <w:pStyle w:val="Header"/>
        <w:tabs>
          <w:tab w:val="right" w:pos="9639"/>
        </w:tabs>
        <w:rPr>
          <w:rFonts w:eastAsia="SimSun"/>
          <w:bCs/>
          <w:sz w:val="24"/>
          <w:szCs w:val="24"/>
          <w:lang w:eastAsia="zh-CN"/>
        </w:rPr>
      </w:pPr>
      <w:r w:rsidRPr="00F336E3">
        <w:rPr>
          <w:rFonts w:eastAsia="SimSun"/>
          <w:bCs/>
          <w:sz w:val="24"/>
          <w:szCs w:val="24"/>
          <w:lang w:eastAsia="zh-CN"/>
        </w:rPr>
        <w:t>Online, April 12 – April 20, 2021</w:t>
      </w:r>
      <w:r w:rsidR="00A209D6">
        <w:rPr>
          <w:rFonts w:eastAsia="SimSun"/>
          <w:noProof w:val="0"/>
          <w:sz w:val="24"/>
          <w:szCs w:val="24"/>
          <w:lang w:eastAsia="zh-CN"/>
        </w:rPr>
        <w:tab/>
      </w:r>
      <w:r w:rsidRPr="00DE16E8">
        <w:rPr>
          <w:rFonts w:eastAsia="SimSun"/>
          <w:i/>
          <w:iCs/>
          <w:noProof w:val="0"/>
          <w:sz w:val="24"/>
          <w:szCs w:val="24"/>
          <w:lang w:eastAsia="zh-CN"/>
        </w:rPr>
        <w:t>Revision of R2-2101203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37696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1EC3">
        <w:rPr>
          <w:rFonts w:cs="Arial"/>
          <w:b/>
          <w:bCs/>
          <w:sz w:val="24"/>
          <w:lang w:eastAsia="ja-JP"/>
        </w:rPr>
        <w:t>8.6.2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0792EE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1EC3">
        <w:rPr>
          <w:rFonts w:ascii="Arial" w:hAnsi="Arial" w:cs="Arial"/>
          <w:b/>
          <w:bCs/>
          <w:sz w:val="24"/>
        </w:rPr>
        <w:t>User Plane common aspects</w:t>
      </w:r>
    </w:p>
    <w:p w14:paraId="1F147C23" w14:textId="15DE9F3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1EC3" w:rsidRPr="00611EC3">
        <w:rPr>
          <w:rFonts w:ascii="Arial" w:hAnsi="Arial" w:cs="Arial"/>
          <w:b/>
          <w:bCs/>
          <w:sz w:val="24"/>
        </w:rPr>
        <w:t>NR_SmallData_INACTIVE</w:t>
      </w:r>
      <w:proofErr w:type="spellEnd"/>
      <w:r w:rsidR="00611EC3" w:rsidRPr="00611EC3">
        <w:rPr>
          <w:rFonts w:ascii="Arial" w:hAnsi="Arial" w:cs="Arial"/>
          <w:b/>
          <w:bCs/>
          <w:sz w:val="24"/>
        </w:rPr>
        <w:t xml:space="preserve"> </w:t>
      </w:r>
      <w:r>
        <w:rPr>
          <w:rFonts w:ascii="Arial" w:hAnsi="Arial" w:cs="Arial"/>
          <w:b/>
          <w:bCs/>
          <w:sz w:val="24"/>
        </w:rPr>
        <w:t xml:space="preserve">- Release </w:t>
      </w:r>
      <w:r w:rsidR="00611EC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A3A8FD" w14:textId="755C2BC1" w:rsidR="00935F1D" w:rsidRDefault="00935F1D" w:rsidP="00A209D6">
      <w:r>
        <w:t>In this contribution, several UP common aspects for SDT procedure are being discussed. Some of the relevant RAN2 agreements from the previous meeting</w:t>
      </w:r>
      <w:r w:rsidR="00DE16E8">
        <w:t>s</w:t>
      </w:r>
      <w:r>
        <w:t xml:space="preserve"> are listed below:</w:t>
      </w:r>
    </w:p>
    <w:tbl>
      <w:tblPr>
        <w:tblStyle w:val="TableGrid"/>
        <w:tblW w:w="0" w:type="auto"/>
        <w:tblLook w:val="04A0" w:firstRow="1" w:lastRow="0" w:firstColumn="1" w:lastColumn="0" w:noHBand="0" w:noVBand="1"/>
      </w:tblPr>
      <w:tblGrid>
        <w:gridCol w:w="9631"/>
      </w:tblGrid>
      <w:tr w:rsidR="00935F1D" w14:paraId="5A377368" w14:textId="77777777" w:rsidTr="00935F1D">
        <w:tc>
          <w:tcPr>
            <w:tcW w:w="9631" w:type="dxa"/>
            <w:shd w:val="clear" w:color="auto" w:fill="F2F2F2" w:themeFill="background1" w:themeFillShade="F2"/>
          </w:tcPr>
          <w:p w14:paraId="1C5341A3" w14:textId="77777777" w:rsidR="00935F1D" w:rsidRPr="00935F1D" w:rsidRDefault="00935F1D" w:rsidP="00935F1D">
            <w:pPr>
              <w:pStyle w:val="Doc-text2"/>
              <w:ind w:left="363"/>
            </w:pPr>
            <w:proofErr w:type="gramStart"/>
            <w:r w:rsidRPr="00935F1D">
              <w:t xml:space="preserve">3  </w:t>
            </w:r>
            <w:r w:rsidRPr="00935F1D">
              <w:tab/>
            </w:r>
            <w:proofErr w:type="gramEnd"/>
            <w:r w:rsidRPr="00935F1D">
              <w:t>The first UL message (i.e. MSG3 for 4-step RACH, MSGA payload for 2-step RACH and the CG transmission for CG) may contain at least the following contents (depending on the size of the message):</w:t>
            </w:r>
          </w:p>
          <w:p w14:paraId="4109D06C" w14:textId="77777777" w:rsidR="00935F1D" w:rsidRPr="00935F1D" w:rsidRDefault="00935F1D" w:rsidP="00935F1D">
            <w:pPr>
              <w:pStyle w:val="Doc-text2"/>
              <w:ind w:left="726"/>
            </w:pPr>
            <w:r w:rsidRPr="00935F1D">
              <w:t>-</w:t>
            </w:r>
            <w:r w:rsidRPr="00935F1D">
              <w:tab/>
              <w:t>CCCH message (needs to be included)</w:t>
            </w:r>
          </w:p>
          <w:p w14:paraId="308DA0A4" w14:textId="77777777" w:rsidR="00935F1D" w:rsidRPr="00935F1D" w:rsidRDefault="00935F1D" w:rsidP="00935F1D">
            <w:pPr>
              <w:pStyle w:val="Doc-text2"/>
              <w:ind w:left="726"/>
            </w:pPr>
            <w:r w:rsidRPr="00935F1D">
              <w:t>LCP can be used to determine to priority of the content below that may be included</w:t>
            </w:r>
          </w:p>
          <w:p w14:paraId="44589283" w14:textId="77777777" w:rsidR="00935F1D" w:rsidRPr="00935F1D" w:rsidRDefault="00935F1D" w:rsidP="00935F1D">
            <w:pPr>
              <w:pStyle w:val="Doc-text2"/>
              <w:ind w:left="726"/>
            </w:pPr>
            <w:r w:rsidRPr="00935F1D">
              <w:t>-</w:t>
            </w:r>
            <w:r w:rsidRPr="00935F1D">
              <w:tab/>
              <w:t xml:space="preserve">DRB data from one or more DRBs which are configured by the network for small data transmission </w:t>
            </w:r>
          </w:p>
          <w:p w14:paraId="14F98AC0" w14:textId="77777777" w:rsidR="00935F1D" w:rsidRPr="00935F1D" w:rsidRDefault="00935F1D" w:rsidP="00935F1D">
            <w:pPr>
              <w:pStyle w:val="Doc-text2"/>
              <w:ind w:left="726"/>
              <w:rPr>
                <w:lang w:val="en-US"/>
              </w:rPr>
            </w:pPr>
            <w:r w:rsidRPr="00935F1D">
              <w:rPr>
                <w:lang w:val="fr-FR"/>
              </w:rPr>
              <w:t>-</w:t>
            </w:r>
            <w:r w:rsidRPr="00935F1D">
              <w:rPr>
                <w:lang w:val="fr-FR"/>
              </w:rPr>
              <w:tab/>
              <w:t xml:space="preserve">MAC </w:t>
            </w:r>
            <w:proofErr w:type="spellStart"/>
            <w:r w:rsidRPr="00935F1D">
              <w:rPr>
                <w:lang w:val="fr-FR"/>
              </w:rPr>
              <w:t>CEs</w:t>
            </w:r>
            <w:proofErr w:type="spellEnd"/>
            <w:r w:rsidRPr="00935F1D">
              <w:rPr>
                <w:lang w:val="fr-FR"/>
              </w:rPr>
              <w:t xml:space="preserve"> – (e.g. BSR).  </w:t>
            </w:r>
            <w:r w:rsidRPr="00935F1D">
              <w:rPr>
                <w:lang w:val="en-US"/>
              </w:rPr>
              <w:t xml:space="preserve">FFS other MAC CEs </w:t>
            </w:r>
          </w:p>
          <w:p w14:paraId="444CB573" w14:textId="77777777" w:rsidR="00935F1D" w:rsidRPr="00935F1D" w:rsidRDefault="00935F1D" w:rsidP="00935F1D">
            <w:pPr>
              <w:pStyle w:val="Doc-text2"/>
              <w:ind w:left="726"/>
              <w:rPr>
                <w:lang w:val="en-US"/>
              </w:rPr>
            </w:pPr>
            <w:r w:rsidRPr="00935F1D">
              <w:rPr>
                <w:lang w:val="en-US"/>
              </w:rPr>
              <w:t>-</w:t>
            </w:r>
            <w:r w:rsidRPr="00935F1D">
              <w:rPr>
                <w:lang w:val="en-US"/>
              </w:rPr>
              <w:tab/>
              <w:t>Padding bits</w:t>
            </w:r>
          </w:p>
          <w:p w14:paraId="5FB913BF" w14:textId="3979D233" w:rsidR="00935F1D" w:rsidRPr="00935F1D" w:rsidRDefault="00935F1D" w:rsidP="00935F1D">
            <w:pPr>
              <w:pStyle w:val="Doc-text2"/>
              <w:ind w:left="363"/>
              <w:rPr>
                <w:lang w:val="en-US"/>
              </w:rPr>
            </w:pPr>
            <w:r w:rsidRPr="00935F1D">
              <w:rPr>
                <w:lang w:val="en-US"/>
              </w:rPr>
              <w:tab/>
              <w:t>FFS if we need to ensure that SDT data only is included.  Depends on whether the UE initiates legacy/normal resume</w:t>
            </w:r>
            <w:r w:rsidRPr="00E0631C">
              <w:rPr>
                <w:lang w:val="en-US"/>
              </w:rPr>
              <w:t xml:space="preserve"> </w:t>
            </w:r>
          </w:p>
        </w:tc>
      </w:tr>
    </w:tbl>
    <w:p w14:paraId="11649684" w14:textId="1181BAF5" w:rsidR="00935F1D" w:rsidRDefault="00935F1D" w:rsidP="00A209D6"/>
    <w:p w14:paraId="38EE06F8" w14:textId="2F32C0A3" w:rsidR="00935F1D" w:rsidRDefault="00935F1D" w:rsidP="00A209D6">
      <w:r>
        <w:t>Furthermore, several issues were discussed without conclusion, for instance:</w:t>
      </w:r>
    </w:p>
    <w:p w14:paraId="735B2819" w14:textId="16865035" w:rsidR="00935F1D" w:rsidRDefault="00935F1D" w:rsidP="00A209D6">
      <w:r>
        <w:tab/>
        <w:t>-</w:t>
      </w:r>
      <w:r>
        <w:tab/>
        <w:t xml:space="preserve">Handling of PDCP status report upon SDT </w:t>
      </w:r>
      <w:proofErr w:type="gramStart"/>
      <w:r>
        <w:t>transmission;</w:t>
      </w:r>
      <w:proofErr w:type="gramEnd"/>
    </w:p>
    <w:p w14:paraId="39BFCF41" w14:textId="1A63CBAD" w:rsidR="00935F1D" w:rsidRDefault="00935F1D" w:rsidP="00A209D6">
      <w:r>
        <w:tab/>
        <w:t>-</w:t>
      </w:r>
      <w:r>
        <w:tab/>
        <w:t xml:space="preserve">Thresholds for SDT </w:t>
      </w:r>
      <w:proofErr w:type="gramStart"/>
      <w:r>
        <w:t>triggering;</w:t>
      </w:r>
      <w:proofErr w:type="gramEnd"/>
    </w:p>
    <w:p w14:paraId="01897369" w14:textId="2A042F57" w:rsidR="00935F1D" w:rsidRDefault="00935F1D" w:rsidP="00A209D6">
      <w:r>
        <w:tab/>
        <w:t>-</w:t>
      </w:r>
      <w:r>
        <w:tab/>
        <w:t>BSR handling.</w:t>
      </w:r>
    </w:p>
    <w:p w14:paraId="4F547731" w14:textId="466D488D" w:rsidR="00A209D6" w:rsidRPr="006E13D1" w:rsidRDefault="00A209D6" w:rsidP="00B7538C">
      <w:pPr>
        <w:pStyle w:val="Heading1"/>
      </w:pPr>
      <w:r w:rsidRPr="006E13D1">
        <w:t>2</w:t>
      </w:r>
      <w:r w:rsidRPr="006E13D1">
        <w:tab/>
      </w:r>
      <w:r w:rsidR="00935F1D">
        <w:t>Discussion on User Plane aspects</w:t>
      </w:r>
    </w:p>
    <w:p w14:paraId="5F01C058" w14:textId="15BEA955" w:rsidR="00A209D6" w:rsidRPr="006E13D1" w:rsidRDefault="00B7538C" w:rsidP="00A209D6">
      <w:pPr>
        <w:pStyle w:val="Heading2"/>
      </w:pPr>
      <w:r>
        <w:t>2</w:t>
      </w:r>
      <w:r w:rsidR="00A209D6" w:rsidRPr="006E13D1">
        <w:t>.1</w:t>
      </w:r>
      <w:r w:rsidR="00A209D6" w:rsidRPr="006E13D1">
        <w:tab/>
      </w:r>
      <w:r w:rsidR="00935F1D">
        <w:t>Handling of PDCP status report upon SDT transmission</w:t>
      </w:r>
    </w:p>
    <w:p w14:paraId="2627F8F7" w14:textId="2297D8A2" w:rsidR="00935F1D" w:rsidRDefault="00935F1D" w:rsidP="00B7538C">
      <w:r>
        <w:t>In the previous meeting, it was discussed how the UE should handle the PDCP status report upon SDT transmission when it re-establishes the PDCP entity for one of the SDT DRBs. However, it was unclear why there was a PDCP status report to transmit unless NW so requested.</w:t>
      </w:r>
    </w:p>
    <w:p w14:paraId="365E84C3" w14:textId="64010B49" w:rsidR="00935F1D" w:rsidRDefault="00935F1D" w:rsidP="00B7538C">
      <w:r>
        <w:t xml:space="preserve">The following </w:t>
      </w:r>
      <w:r w:rsidR="00952ACE">
        <w:t>is</w:t>
      </w:r>
      <w:r>
        <w:t xml:space="preserve"> specified in TS 38.323:</w:t>
      </w:r>
    </w:p>
    <w:tbl>
      <w:tblPr>
        <w:tblStyle w:val="TableGrid"/>
        <w:tblW w:w="0" w:type="auto"/>
        <w:tblLook w:val="04A0" w:firstRow="1" w:lastRow="0" w:firstColumn="1" w:lastColumn="0" w:noHBand="0" w:noVBand="1"/>
      </w:tblPr>
      <w:tblGrid>
        <w:gridCol w:w="9631"/>
      </w:tblGrid>
      <w:tr w:rsidR="00935F1D" w14:paraId="479F2489" w14:textId="77777777" w:rsidTr="00935F1D">
        <w:tc>
          <w:tcPr>
            <w:tcW w:w="9631" w:type="dxa"/>
            <w:shd w:val="clear" w:color="auto" w:fill="F2F2F2" w:themeFill="background1" w:themeFillShade="F2"/>
          </w:tcPr>
          <w:p w14:paraId="3F4986EB" w14:textId="77777777" w:rsidR="00935F1D" w:rsidRPr="00DA35A2" w:rsidRDefault="00935F1D" w:rsidP="00935F1D">
            <w:pPr>
              <w:pStyle w:val="Heading2"/>
            </w:pPr>
            <w:bookmarkStart w:id="0" w:name="_Toc12616341"/>
            <w:r w:rsidRPr="00DA35A2">
              <w:lastRenderedPageBreak/>
              <w:t>5.4</w:t>
            </w:r>
            <w:r w:rsidRPr="00DA35A2">
              <w:rPr>
                <w:lang w:eastAsia="ko-KR"/>
              </w:rPr>
              <w:tab/>
            </w:r>
            <w:r w:rsidRPr="00DA35A2">
              <w:t>Status reporting</w:t>
            </w:r>
            <w:bookmarkEnd w:id="0"/>
          </w:p>
          <w:p w14:paraId="02C9CC7A" w14:textId="77777777" w:rsidR="00935F1D" w:rsidRPr="00DA35A2" w:rsidRDefault="00935F1D" w:rsidP="00935F1D">
            <w:pPr>
              <w:pStyle w:val="Heading3"/>
            </w:pPr>
            <w:bookmarkStart w:id="1" w:name="_Toc12616342"/>
            <w:r w:rsidRPr="00DA35A2">
              <w:t>5.4.1</w:t>
            </w:r>
            <w:r w:rsidRPr="00DA35A2">
              <w:tab/>
              <w:t>Transmit operation</w:t>
            </w:r>
            <w:bookmarkEnd w:id="1"/>
          </w:p>
          <w:p w14:paraId="12B61567" w14:textId="77777777" w:rsidR="00935F1D" w:rsidRPr="00DA35A2" w:rsidRDefault="00935F1D" w:rsidP="00935F1D">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 (</w:t>
            </w:r>
            <w:proofErr w:type="spellStart"/>
            <w:r w:rsidRPr="00DA35A2">
              <w:rPr>
                <w:i/>
              </w:rPr>
              <w:t>statusReportRequired</w:t>
            </w:r>
            <w:proofErr w:type="spellEnd"/>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6E5FC2EB" w14:textId="77777777" w:rsidR="00935F1D" w:rsidRPr="00DA35A2" w:rsidRDefault="00935F1D" w:rsidP="00935F1D">
            <w:pPr>
              <w:pStyle w:val="B1"/>
            </w:pPr>
            <w:r w:rsidRPr="00DA35A2">
              <w:t>-</w:t>
            </w:r>
            <w:r w:rsidRPr="00DA35A2">
              <w:tab/>
              <w:t xml:space="preserve">upper layer requests a PDCP entity </w:t>
            </w:r>
            <w:proofErr w:type="gramStart"/>
            <w:r w:rsidRPr="00DA35A2">
              <w:t>re-establishment;</w:t>
            </w:r>
            <w:proofErr w:type="gramEnd"/>
          </w:p>
          <w:p w14:paraId="02A323C0" w14:textId="49D07DFA" w:rsidR="00935F1D" w:rsidRDefault="00935F1D" w:rsidP="00935F1D">
            <w:pPr>
              <w:pStyle w:val="B1"/>
            </w:pPr>
            <w:r w:rsidRPr="00DA35A2">
              <w:t>-</w:t>
            </w:r>
            <w:r w:rsidRPr="00DA35A2">
              <w:tab/>
              <w:t>upper layer requests a PDCP data recovery.</w:t>
            </w:r>
          </w:p>
        </w:tc>
      </w:tr>
    </w:tbl>
    <w:p w14:paraId="3F65559E" w14:textId="55DCBCF8" w:rsidR="00935F1D" w:rsidRDefault="00935F1D" w:rsidP="00B7538C"/>
    <w:p w14:paraId="104A522F" w14:textId="6D891FA8" w:rsidR="00952ACE" w:rsidRDefault="00952ACE" w:rsidP="00B7538C">
      <w:r>
        <w:t>It seems clear from the above, the PDCP status report is triggered upon PDCP entity re-establishment only in case upper layers so requests.</w:t>
      </w:r>
    </w:p>
    <w:p w14:paraId="40904FB7" w14:textId="39EE2289" w:rsidR="00952ACE" w:rsidRDefault="00952ACE" w:rsidP="00B7538C">
      <w:r>
        <w:t>The following is specified in TS 38.331:</w:t>
      </w:r>
    </w:p>
    <w:tbl>
      <w:tblPr>
        <w:tblStyle w:val="TableGrid"/>
        <w:tblW w:w="0" w:type="auto"/>
        <w:tblLook w:val="04A0" w:firstRow="1" w:lastRow="0" w:firstColumn="1" w:lastColumn="0" w:noHBand="0" w:noVBand="1"/>
      </w:tblPr>
      <w:tblGrid>
        <w:gridCol w:w="9631"/>
      </w:tblGrid>
      <w:tr w:rsidR="00952ACE" w14:paraId="49A27604" w14:textId="77777777" w:rsidTr="00952ACE">
        <w:tc>
          <w:tcPr>
            <w:tcW w:w="9631" w:type="dxa"/>
            <w:shd w:val="clear" w:color="auto" w:fill="F2F2F2" w:themeFill="background1" w:themeFillShade="F2"/>
          </w:tcPr>
          <w:p w14:paraId="439F6F84" w14:textId="77777777" w:rsidR="00952ACE" w:rsidRPr="00325D1F" w:rsidRDefault="00952ACE" w:rsidP="00952ACE">
            <w:pPr>
              <w:pStyle w:val="TAL"/>
              <w:rPr>
                <w:b/>
                <w:i/>
                <w:lang w:eastAsia="ja-JP"/>
              </w:rPr>
            </w:pPr>
            <w:proofErr w:type="spellStart"/>
            <w:r w:rsidRPr="00325D1F">
              <w:rPr>
                <w:b/>
                <w:i/>
                <w:lang w:eastAsia="ja-JP"/>
              </w:rPr>
              <w:t>statusReportRequired</w:t>
            </w:r>
            <w:proofErr w:type="spellEnd"/>
          </w:p>
          <w:p w14:paraId="1FC7A8C6" w14:textId="5685EE0C" w:rsidR="00952ACE" w:rsidRDefault="00952ACE" w:rsidP="00952ACE">
            <w:r w:rsidRPr="00325D1F">
              <w:rPr>
                <w:bCs/>
                <w:lang w:eastAsia="en-GB"/>
              </w:rPr>
              <w:t>For AM DRBs, indicates whether the DRB is configured to send a PDCP status report in the uplink, as specified in TS 38.323 [5].</w:t>
            </w:r>
          </w:p>
        </w:tc>
      </w:tr>
    </w:tbl>
    <w:p w14:paraId="7FAFB1DD" w14:textId="77777777" w:rsidR="00952ACE" w:rsidRDefault="00952ACE" w:rsidP="00B7538C"/>
    <w:p w14:paraId="60A7A94F" w14:textId="6253373C" w:rsidR="00935F1D" w:rsidRDefault="00952ACE" w:rsidP="00B7538C">
      <w:r>
        <w:t>It seems clear from the above, the status report can be indicated not to be triggered upon PDCP entity re-establishment.</w:t>
      </w:r>
    </w:p>
    <w:p w14:paraId="2D7AEB24" w14:textId="599AB719" w:rsidR="00952ACE" w:rsidRDefault="00952ACE" w:rsidP="00B7538C">
      <w:r>
        <w:t xml:space="preserve">Hence, the network already has the possibility to avoid the PDCP status reporting by the UE upon SDT transmission. Naturally, such reporting should also be allowed to be requested by the network if it so </w:t>
      </w:r>
      <w:r w:rsidR="00275C77">
        <w:t>configures.</w:t>
      </w:r>
    </w:p>
    <w:p w14:paraId="1F6F1AAB" w14:textId="58CA8C7C" w:rsidR="00275C77" w:rsidRPr="00275C77" w:rsidRDefault="00275C77" w:rsidP="00B7538C">
      <w:pPr>
        <w:rPr>
          <w:b/>
          <w:bCs/>
        </w:rPr>
      </w:pPr>
      <w:r>
        <w:rPr>
          <w:b/>
          <w:bCs/>
        </w:rPr>
        <w:t>Proposal 1: PDCP status reporting principles are not changed for SDT procedure.</w:t>
      </w:r>
    </w:p>
    <w:p w14:paraId="6880338E" w14:textId="52C5D381" w:rsidR="00AE3F08" w:rsidRPr="006E13D1" w:rsidRDefault="00AE3F08" w:rsidP="00AE3F08">
      <w:pPr>
        <w:pStyle w:val="Heading2"/>
      </w:pPr>
      <w:r>
        <w:t>2</w:t>
      </w:r>
      <w:r w:rsidRPr="006E13D1">
        <w:t>.</w:t>
      </w:r>
      <w:r w:rsidR="00DE16E8">
        <w:t>2</w:t>
      </w:r>
      <w:r w:rsidRPr="006E13D1">
        <w:tab/>
      </w:r>
      <w:r>
        <w:t>BSR handling during SDT procedure</w:t>
      </w:r>
    </w:p>
    <w:p w14:paraId="2701D46C" w14:textId="1AF57153" w:rsidR="00275C77" w:rsidRDefault="00172D9B" w:rsidP="00B7538C">
      <w:r>
        <w:t>In the post-meeting email discussion “</w:t>
      </w:r>
      <w:r w:rsidRPr="00172D9B">
        <w:rPr>
          <w:i/>
          <w:iCs/>
        </w:rPr>
        <w:t>[POST112-e][</w:t>
      </w:r>
      <w:proofErr w:type="gramStart"/>
      <w:r w:rsidRPr="00172D9B">
        <w:rPr>
          <w:i/>
          <w:iCs/>
        </w:rPr>
        <w:t>551][</w:t>
      </w:r>
      <w:proofErr w:type="gramEnd"/>
      <w:r w:rsidRPr="00172D9B">
        <w:rPr>
          <w:i/>
          <w:iCs/>
        </w:rPr>
        <w:t>SDT]  Common aspects between CG and RACH (ZTE)</w:t>
      </w:r>
      <w:r>
        <w:t>” it was discussed whether the BSR should always be triggered upon new data arrival during SDT procedure. As discussed above, we think data arrival in a non-SDT DRB should not trigger a new BSR during the SDT procedure.</w:t>
      </w:r>
    </w:p>
    <w:p w14:paraId="400B7597" w14:textId="7E88FF7B" w:rsidR="00172D9B" w:rsidRDefault="00172D9B" w:rsidP="00B7538C">
      <w:r>
        <w:t xml:space="preserve">However, in case of new data arrival over an SDT DRB, the BSR triggering should depend on the existing triggers, </w:t>
      </w:r>
      <w:proofErr w:type="spellStart"/>
      <w:r>
        <w:t>ie</w:t>
      </w:r>
      <w:proofErr w:type="spellEnd"/>
      <w:r>
        <w:t>., it still seems unnecessary to trigger the BSR always. This is because the existing mechanism already allows the new SDT data transmission by a reasonable NW implementation:</w:t>
      </w:r>
      <w:r w:rsidR="00330F61">
        <w:t xml:space="preserve"> </w:t>
      </w:r>
      <w:r>
        <w:t>in case the UE had already data in a higher priority SDT DRB in the buffer, the BSR would not be triggered</w:t>
      </w:r>
      <w:r w:rsidR="00330F61">
        <w:t xml:space="preserve">. In this case the </w:t>
      </w:r>
      <w:r>
        <w:t xml:space="preserve">NW would </w:t>
      </w:r>
      <w:r w:rsidR="00330F61">
        <w:t xml:space="preserve">naturally </w:t>
      </w:r>
      <w:r>
        <w:t xml:space="preserve">keep scheduling the UE until the UE has no data anymore and </w:t>
      </w:r>
      <w:r w:rsidR="00330F61">
        <w:t>ensures to receive the zero BSR (through padding BSR) before releasing the UE. The legacy triggering schemes work on the other scenarios.</w:t>
      </w:r>
    </w:p>
    <w:p w14:paraId="68BE1E79" w14:textId="0AA9F169" w:rsidR="00330F61" w:rsidRPr="00330F61" w:rsidRDefault="00330F61" w:rsidP="00B7538C">
      <w:pPr>
        <w:rPr>
          <w:b/>
          <w:bCs/>
        </w:rPr>
      </w:pPr>
      <w:r>
        <w:rPr>
          <w:b/>
          <w:bCs/>
        </w:rPr>
        <w:t xml:space="preserve">Proposal </w:t>
      </w:r>
      <w:r w:rsidR="00DE16E8">
        <w:rPr>
          <w:b/>
          <w:bCs/>
        </w:rPr>
        <w:t>2</w:t>
      </w:r>
      <w:r>
        <w:rPr>
          <w:b/>
          <w:bCs/>
        </w:rPr>
        <w:t>: BSR triggering mechanisms are not changed for SDT.</w:t>
      </w:r>
    </w:p>
    <w:p w14:paraId="47BC3D73" w14:textId="32843A8C" w:rsidR="00330F61" w:rsidRPr="006E13D1" w:rsidRDefault="00330F61" w:rsidP="00330F61">
      <w:pPr>
        <w:pStyle w:val="Heading2"/>
      </w:pPr>
      <w:r>
        <w:t>2</w:t>
      </w:r>
      <w:r w:rsidRPr="006E13D1">
        <w:t>.</w:t>
      </w:r>
      <w:r w:rsidR="00DE16E8">
        <w:t>3</w:t>
      </w:r>
      <w:r w:rsidRPr="006E13D1">
        <w:tab/>
      </w:r>
      <w:r>
        <w:t>Data thresholds for different SDT schemes</w:t>
      </w:r>
    </w:p>
    <w:p w14:paraId="57472160" w14:textId="14F7F896" w:rsidR="00330F61" w:rsidRDefault="006561FF" w:rsidP="00B7538C">
      <w:r>
        <w:t>The following has been agreed in the RAN2#111-e meeting:</w:t>
      </w:r>
    </w:p>
    <w:tbl>
      <w:tblPr>
        <w:tblStyle w:val="TableGrid"/>
        <w:tblW w:w="0" w:type="auto"/>
        <w:tblLook w:val="04A0" w:firstRow="1" w:lastRow="0" w:firstColumn="1" w:lastColumn="0" w:noHBand="0" w:noVBand="1"/>
      </w:tblPr>
      <w:tblGrid>
        <w:gridCol w:w="9631"/>
      </w:tblGrid>
      <w:tr w:rsidR="006561FF" w14:paraId="5B876398" w14:textId="77777777" w:rsidTr="006561FF">
        <w:tc>
          <w:tcPr>
            <w:tcW w:w="9631" w:type="dxa"/>
            <w:shd w:val="clear" w:color="auto" w:fill="F2F2F2" w:themeFill="background1" w:themeFillShade="F2"/>
          </w:tcPr>
          <w:p w14:paraId="74049848" w14:textId="592C6E91" w:rsidR="006561FF" w:rsidRPr="006561FF" w:rsidRDefault="006561FF" w:rsidP="006561FF">
            <w:pPr>
              <w:tabs>
                <w:tab w:val="left" w:pos="1622"/>
              </w:tabs>
              <w:overflowPunct w:val="0"/>
              <w:autoSpaceDE w:val="0"/>
              <w:autoSpaceDN w:val="0"/>
              <w:adjustRightInd w:val="0"/>
              <w:spacing w:after="0"/>
              <w:ind w:left="931" w:hanging="363"/>
              <w:textAlignment w:val="baseline"/>
              <w:rPr>
                <w:rFonts w:ascii="Arial" w:hAnsi="Arial"/>
                <w:b/>
                <w:bCs/>
                <w:lang w:eastAsia="ja-JP"/>
              </w:rPr>
            </w:pPr>
            <w:r w:rsidRPr="006561FF">
              <w:rPr>
                <w:rFonts w:ascii="Arial" w:hAnsi="Arial"/>
                <w:b/>
                <w:bCs/>
                <w:lang w:eastAsia="ja-JP"/>
              </w:rPr>
              <w:t>Agreements</w:t>
            </w:r>
          </w:p>
          <w:p w14:paraId="062BDB44" w14:textId="2AC879BF" w:rsidR="006561FF" w:rsidRPr="006561FF" w:rsidRDefault="006561FF" w:rsidP="006561FF">
            <w:pPr>
              <w:tabs>
                <w:tab w:val="left" w:pos="1622"/>
              </w:tabs>
              <w:overflowPunct w:val="0"/>
              <w:autoSpaceDE w:val="0"/>
              <w:autoSpaceDN w:val="0"/>
              <w:adjustRightInd w:val="0"/>
              <w:spacing w:after="0"/>
              <w:ind w:left="931" w:hanging="363"/>
              <w:textAlignment w:val="baseline"/>
              <w:rPr>
                <w:rFonts w:ascii="Arial" w:hAnsi="Arial"/>
                <w:i/>
                <w:iCs/>
                <w:lang w:eastAsia="ja-JP"/>
              </w:rPr>
            </w:pPr>
            <w:r w:rsidRPr="006561FF">
              <w:rPr>
                <w:rFonts w:ascii="Arial" w:hAnsi="Arial"/>
                <w:lang w:eastAsia="ja-JP"/>
              </w:rPr>
              <w:t>8</w:t>
            </w:r>
            <w:r w:rsidRPr="006561FF">
              <w:rPr>
                <w:rFonts w:ascii="Arial" w:hAnsi="Arial"/>
                <w:lang w:eastAsia="ja-JP"/>
              </w:rPr>
              <w:tab/>
              <w:t xml:space="preserve">Data volume </w:t>
            </w:r>
            <w:proofErr w:type="gramStart"/>
            <w:r w:rsidRPr="006561FF">
              <w:rPr>
                <w:rFonts w:ascii="Arial" w:hAnsi="Arial"/>
                <w:lang w:eastAsia="ja-JP"/>
              </w:rPr>
              <w:t>threshold</w:t>
            </w:r>
            <w:proofErr w:type="gramEnd"/>
            <w:r w:rsidRPr="006561FF">
              <w:rPr>
                <w:rFonts w:ascii="Arial" w:hAnsi="Arial"/>
                <w:lang w:eastAsia="ja-JP"/>
              </w:rPr>
              <w:t xml:space="preserve"> is used for the UE to decide whether to do SDT or not.   FFS how we calculate data volume.  </w:t>
            </w:r>
          </w:p>
        </w:tc>
      </w:tr>
    </w:tbl>
    <w:p w14:paraId="08084FB6" w14:textId="189A99C4" w:rsidR="006561FF" w:rsidRDefault="006561FF" w:rsidP="00B7538C"/>
    <w:p w14:paraId="7E09B157" w14:textId="21597C63" w:rsidR="006561FF" w:rsidRDefault="006561FF" w:rsidP="00B7538C">
      <w:r>
        <w:t>It remained unclear if the data volume threshold would be common between the RA-SDT and CG-SDT or whether both could be configured with individual data volume thresholds. Given that RA-SDT and CG-SDT could be configured with quite different TB sizes to carry the SDT transmissions over the L1, it seems desirable to enable distinct configuration of data volume thresholds for these two SDT modes. Furthermore, it seems switching between these two modes would not be needed to be supported which further makes them independent from each other in terms of data amount to be transmitted.</w:t>
      </w:r>
    </w:p>
    <w:p w14:paraId="01059B84" w14:textId="7E523F6A" w:rsidR="006561FF" w:rsidRDefault="006561FF" w:rsidP="00B7538C">
      <w:pPr>
        <w:rPr>
          <w:b/>
          <w:bCs/>
        </w:rPr>
      </w:pPr>
      <w:r>
        <w:rPr>
          <w:b/>
          <w:bCs/>
        </w:rPr>
        <w:t xml:space="preserve">Proposal </w:t>
      </w:r>
      <w:r w:rsidR="00DE16E8">
        <w:rPr>
          <w:b/>
          <w:bCs/>
        </w:rPr>
        <w:t>3</w:t>
      </w:r>
      <w:r>
        <w:rPr>
          <w:b/>
          <w:bCs/>
        </w:rPr>
        <w:t>: Different data volume thresholds are configured for RA-SDT and CG-SDT.</w:t>
      </w:r>
    </w:p>
    <w:p w14:paraId="3457C7CF" w14:textId="3FD3DE33" w:rsidR="00DE16E8" w:rsidRPr="00DE16E8" w:rsidRDefault="00DE16E8" w:rsidP="00B7538C">
      <w:r>
        <w:lastRenderedPageBreak/>
        <w:t>Furthermore, as new data may appear in the UE buffer during the SDT procedure, it is desirable that the amount of UL data transmitted over SDT can be controlled through the SDT procedure initiated.</w:t>
      </w:r>
    </w:p>
    <w:p w14:paraId="5FF2457F" w14:textId="5A6AAE03" w:rsidR="00A209D6" w:rsidRPr="006E13D1" w:rsidRDefault="006561FF" w:rsidP="00A209D6">
      <w:pPr>
        <w:pStyle w:val="Heading1"/>
      </w:pPr>
      <w:r>
        <w:t>3</w:t>
      </w:r>
      <w:r w:rsidR="00A209D6" w:rsidRPr="006E13D1">
        <w:tab/>
      </w:r>
      <w:r w:rsidR="008C3057">
        <w:t>Conclusion</w:t>
      </w:r>
    </w:p>
    <w:p w14:paraId="44A31E23" w14:textId="77777777" w:rsidR="00690031" w:rsidRPr="00275C77" w:rsidRDefault="00690031" w:rsidP="00690031">
      <w:pPr>
        <w:rPr>
          <w:b/>
          <w:bCs/>
        </w:rPr>
      </w:pPr>
      <w:r>
        <w:rPr>
          <w:b/>
          <w:bCs/>
        </w:rPr>
        <w:t>Proposal 1: PDCP status reporting principles are not changed for SDT procedure.</w:t>
      </w:r>
    </w:p>
    <w:p w14:paraId="56DFF89A" w14:textId="77777777" w:rsidR="00690031" w:rsidRPr="00690031" w:rsidRDefault="00690031" w:rsidP="00690031">
      <w:r>
        <w:rPr>
          <w:b/>
          <w:bCs/>
        </w:rPr>
        <w:t xml:space="preserve">Observation 1: </w:t>
      </w:r>
      <w:r w:rsidRPr="00690031">
        <w:t>Reporting data arrival in a non-SDT DRB through BSR restricts LCH configurations to LCGs as well as requires new mechanism to support buffer reporting of suspended DRBs.</w:t>
      </w:r>
    </w:p>
    <w:p w14:paraId="3D1B3A91" w14:textId="1ABE3EE9" w:rsidR="00690031" w:rsidRPr="00330F61" w:rsidRDefault="00690031" w:rsidP="00690031">
      <w:pPr>
        <w:rPr>
          <w:b/>
          <w:bCs/>
        </w:rPr>
      </w:pPr>
      <w:r>
        <w:rPr>
          <w:b/>
          <w:bCs/>
        </w:rPr>
        <w:t xml:space="preserve">Proposal </w:t>
      </w:r>
      <w:r w:rsidR="00DE16E8">
        <w:rPr>
          <w:b/>
          <w:bCs/>
        </w:rPr>
        <w:t>2</w:t>
      </w:r>
      <w:r>
        <w:rPr>
          <w:b/>
          <w:bCs/>
        </w:rPr>
        <w:t>: BSR triggering mechanisms are not changed for SDT.</w:t>
      </w:r>
    </w:p>
    <w:p w14:paraId="58A2A52A" w14:textId="45309F4D" w:rsidR="00690031" w:rsidRPr="006561FF" w:rsidRDefault="00690031" w:rsidP="00690031">
      <w:pPr>
        <w:rPr>
          <w:b/>
          <w:bCs/>
        </w:rPr>
      </w:pPr>
      <w:r>
        <w:rPr>
          <w:b/>
          <w:bCs/>
        </w:rPr>
        <w:t xml:space="preserve">Proposal </w:t>
      </w:r>
      <w:r w:rsidR="00DE16E8">
        <w:rPr>
          <w:b/>
          <w:bCs/>
        </w:rPr>
        <w:t>3</w:t>
      </w:r>
      <w:r>
        <w:rPr>
          <w:b/>
          <w:bCs/>
        </w:rPr>
        <w:t>: Different data volume thresholds are configured for RA-SDT and CG-SDT.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9676D"/>
    <w:rsid w:val="000B7BCF"/>
    <w:rsid w:val="000C522B"/>
    <w:rsid w:val="000D58AB"/>
    <w:rsid w:val="00112F1A"/>
    <w:rsid w:val="00145075"/>
    <w:rsid w:val="00172D9B"/>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75C77"/>
    <w:rsid w:val="002855BF"/>
    <w:rsid w:val="002F0D22"/>
    <w:rsid w:val="00311B17"/>
    <w:rsid w:val="003172DC"/>
    <w:rsid w:val="00325AE3"/>
    <w:rsid w:val="00326069"/>
    <w:rsid w:val="00330F61"/>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11EC3"/>
    <w:rsid w:val="00646D99"/>
    <w:rsid w:val="006561FF"/>
    <w:rsid w:val="00656910"/>
    <w:rsid w:val="006574C0"/>
    <w:rsid w:val="00690031"/>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5F1D"/>
    <w:rsid w:val="00936071"/>
    <w:rsid w:val="009376CD"/>
    <w:rsid w:val="00940212"/>
    <w:rsid w:val="00942EC2"/>
    <w:rsid w:val="00952ACE"/>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1A9E"/>
    <w:rsid w:val="00A430EC"/>
    <w:rsid w:val="00A53724"/>
    <w:rsid w:val="00A54B2B"/>
    <w:rsid w:val="00A82346"/>
    <w:rsid w:val="00A9671C"/>
    <w:rsid w:val="00AA1553"/>
    <w:rsid w:val="00AE3F08"/>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16E8"/>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D2334"/>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3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5F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5F1D"/>
    <w:rPr>
      <w:rFonts w:ascii="Arial" w:eastAsia="MS Mincho" w:hAnsi="Arial"/>
      <w:szCs w:val="24"/>
    </w:rPr>
  </w:style>
  <w:style w:type="character" w:customStyle="1" w:styleId="B1Char">
    <w:name w:val="B1 Char"/>
    <w:link w:val="B1"/>
    <w:rsid w:val="00935F1D"/>
    <w:rPr>
      <w:lang w:eastAsia="en-US"/>
    </w:rPr>
  </w:style>
  <w:style w:type="character" w:customStyle="1" w:styleId="TALCar">
    <w:name w:val="TAL Car"/>
    <w:link w:val="TAL"/>
    <w:qFormat/>
    <w:rsid w:val="00952ACE"/>
    <w:rPr>
      <w:rFonts w:ascii="Arial" w:hAnsi="Arial"/>
      <w:sz w:val="18"/>
      <w:lang w:eastAsia="en-US"/>
    </w:rPr>
  </w:style>
  <w:style w:type="paragraph" w:styleId="ListParagraph">
    <w:name w:val="List Paragraph"/>
    <w:basedOn w:val="Normal"/>
    <w:uiPriority w:val="34"/>
    <w:qFormat/>
    <w:rsid w:val="00172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872</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cp:revision>
  <dcterms:created xsi:type="dcterms:W3CDTF">2021-01-14T07:06:00Z</dcterms:created>
  <dcterms:modified xsi:type="dcterms:W3CDTF">2021-04-01T11:22:00Z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ies>
</file>